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13C1" w:rsidRPr="00AD029B" w:rsidRDefault="00D113C1" w:rsidP="00D113C1">
      <w:pPr>
        <w:ind w:firstLine="709"/>
        <w:jc w:val="right"/>
      </w:pPr>
      <w:r w:rsidRPr="00B51638">
        <w:t xml:space="preserve">Приложение </w:t>
      </w:r>
      <w:r w:rsidR="00101202">
        <w:t xml:space="preserve">№ </w:t>
      </w:r>
      <w:r w:rsidR="0080050C" w:rsidRPr="00AD029B">
        <w:t>5</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0" w:name="_Toc501957866"/>
      <w:r w:rsidRPr="0038666C">
        <w:rPr>
          <w:rFonts w:eastAsia="Calibri"/>
          <w:b/>
          <w:sz w:val="32"/>
          <w:szCs w:val="32"/>
          <w:lang w:eastAsia="en-US"/>
        </w:rPr>
        <w:t>Типовые технические решения</w:t>
      </w:r>
      <w:bookmarkEnd w:id="0"/>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w:t>
      </w:r>
      <w:r w:rsidR="00C47CFC" w:rsidRPr="0038666C">
        <w:rPr>
          <w:rFonts w:eastAsia="Calibri"/>
          <w:b/>
          <w:sz w:val="32"/>
          <w:szCs w:val="32"/>
          <w:lang w:eastAsia="en-US"/>
        </w:rPr>
        <w:t xml:space="preserve">интеллектуального </w:t>
      </w:r>
      <w:r w:rsidRPr="0038666C">
        <w:rPr>
          <w:rFonts w:eastAsia="Calibri"/>
          <w:b/>
          <w:sz w:val="32"/>
          <w:szCs w:val="32"/>
          <w:lang w:eastAsia="en-US"/>
        </w:rPr>
        <w:t xml:space="preserve">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1" w:name="_Toc414692924"/>
      <w:bookmarkStart w:id="2" w:name="_Toc415732311"/>
      <w:bookmarkStart w:id="3" w:name="_Toc416085027"/>
      <w:bookmarkStart w:id="4" w:name="_Toc414692925"/>
      <w:bookmarkStart w:id="5" w:name="_Toc415732312"/>
      <w:bookmarkStart w:id="6" w:name="_Toc416085028"/>
      <w:bookmarkStart w:id="7" w:name="_Toc414692926"/>
      <w:bookmarkStart w:id="8" w:name="_Toc415732313"/>
      <w:bookmarkStart w:id="9" w:name="_Toc416085029"/>
      <w:bookmarkStart w:id="10" w:name="_Toc414692927"/>
      <w:bookmarkStart w:id="11" w:name="_Toc415732314"/>
      <w:bookmarkStart w:id="12" w:name="_Toc416085030"/>
      <w:bookmarkStart w:id="13" w:name="_Toc414692928"/>
      <w:bookmarkStart w:id="14" w:name="_Toc415732315"/>
      <w:bookmarkStart w:id="15" w:name="_Toc416085031"/>
      <w:bookmarkStart w:id="16" w:name="_Toc414692929"/>
      <w:bookmarkStart w:id="17" w:name="_Toc415732316"/>
      <w:bookmarkStart w:id="18" w:name="_Toc416085032"/>
      <w:bookmarkStart w:id="19" w:name="_Toc414692930"/>
      <w:bookmarkStart w:id="20" w:name="_Toc415732317"/>
      <w:bookmarkStart w:id="21" w:name="_Toc416085033"/>
      <w:bookmarkStart w:id="22" w:name="_Toc414692931"/>
      <w:bookmarkStart w:id="23" w:name="_Toc415732318"/>
      <w:bookmarkStart w:id="24" w:name="_Toc416085034"/>
      <w:bookmarkStart w:id="25" w:name="_Toc414692932"/>
      <w:bookmarkStart w:id="26" w:name="_Toc415732319"/>
      <w:bookmarkStart w:id="27" w:name="_Toc416085035"/>
      <w:bookmarkStart w:id="28" w:name="_Toc414692933"/>
      <w:bookmarkStart w:id="29" w:name="_Toc415732320"/>
      <w:bookmarkStart w:id="30" w:name="_Toc416085036"/>
      <w:bookmarkStart w:id="31" w:name="_Toc414692942"/>
      <w:bookmarkStart w:id="32" w:name="_Toc415732329"/>
      <w:bookmarkStart w:id="33" w:name="_Toc416085045"/>
      <w:bookmarkStart w:id="34" w:name="_Toc414692943"/>
      <w:bookmarkStart w:id="35" w:name="_Toc415732330"/>
      <w:bookmarkStart w:id="36" w:name="_Toc416085046"/>
      <w:bookmarkStart w:id="37" w:name="_Toc414692945"/>
      <w:bookmarkStart w:id="38" w:name="_Toc415732332"/>
      <w:bookmarkStart w:id="39" w:name="_Toc416085048"/>
      <w:bookmarkStart w:id="40" w:name="_Toc414692946"/>
      <w:bookmarkStart w:id="41" w:name="_Toc415732333"/>
      <w:bookmarkStart w:id="42" w:name="_Toc416085049"/>
      <w:bookmarkStart w:id="43" w:name="_Toc414692947"/>
      <w:bookmarkStart w:id="44" w:name="_Toc415732334"/>
      <w:bookmarkStart w:id="45" w:name="_Toc416085050"/>
      <w:bookmarkStart w:id="46" w:name="_Toc414692948"/>
      <w:bookmarkStart w:id="47" w:name="_Toc415732335"/>
      <w:bookmarkStart w:id="48" w:name="_Toc416085051"/>
      <w:bookmarkStart w:id="49" w:name="_Toc414692950"/>
      <w:bookmarkStart w:id="50" w:name="_Toc415732337"/>
      <w:bookmarkStart w:id="51" w:name="_Toc416085053"/>
      <w:bookmarkStart w:id="52" w:name="_Toc414692951"/>
      <w:bookmarkStart w:id="53" w:name="_Toc415732338"/>
      <w:bookmarkStart w:id="54" w:name="_Toc416085054"/>
      <w:bookmarkStart w:id="55" w:name="_Toc414692952"/>
      <w:bookmarkStart w:id="56" w:name="_Toc415732339"/>
      <w:bookmarkStart w:id="57" w:name="_Toc416085055"/>
      <w:bookmarkStart w:id="58" w:name="_Toc414692953"/>
      <w:bookmarkStart w:id="59" w:name="_Toc415732340"/>
      <w:bookmarkStart w:id="60" w:name="_Toc416085056"/>
      <w:bookmarkStart w:id="61" w:name="_Toc414692954"/>
      <w:bookmarkStart w:id="62" w:name="_Toc415732341"/>
      <w:bookmarkStart w:id="63" w:name="_Toc416085057"/>
      <w:bookmarkStart w:id="64" w:name="_Toc414692957"/>
      <w:bookmarkStart w:id="65" w:name="_Toc415732344"/>
      <w:bookmarkStart w:id="66" w:name="_Toc416085060"/>
      <w:bookmarkStart w:id="67" w:name="_Toc414692958"/>
      <w:bookmarkStart w:id="68" w:name="_Toc415732345"/>
      <w:bookmarkStart w:id="69" w:name="_Toc416085061"/>
      <w:bookmarkStart w:id="70" w:name="_Toc414692959"/>
      <w:bookmarkStart w:id="71" w:name="_Toc415732346"/>
      <w:bookmarkStart w:id="72" w:name="_Toc416085062"/>
      <w:bookmarkStart w:id="73" w:name="_Toc414692960"/>
      <w:bookmarkStart w:id="74" w:name="_Toc415732347"/>
      <w:bookmarkStart w:id="75" w:name="_Toc416085063"/>
      <w:bookmarkStart w:id="76" w:name="_Toc414692961"/>
      <w:bookmarkStart w:id="77" w:name="_Toc415732348"/>
      <w:bookmarkStart w:id="78" w:name="_Toc416085064"/>
      <w:bookmarkStart w:id="79" w:name="_Toc414692962"/>
      <w:bookmarkStart w:id="80" w:name="_Toc415732349"/>
      <w:bookmarkStart w:id="81" w:name="_Toc416085065"/>
      <w:bookmarkStart w:id="82" w:name="_Toc414692984"/>
      <w:bookmarkStart w:id="83" w:name="_Toc415732371"/>
      <w:bookmarkStart w:id="84" w:name="_Toc416085087"/>
      <w:bookmarkStart w:id="85" w:name="_Toc414692985"/>
      <w:bookmarkStart w:id="86" w:name="_Toc415732372"/>
      <w:bookmarkStart w:id="87" w:name="_Toc416085088"/>
      <w:bookmarkStart w:id="88" w:name="_Toc414692986"/>
      <w:bookmarkStart w:id="89" w:name="_Toc415732373"/>
      <w:bookmarkStart w:id="90" w:name="_Toc416085089"/>
      <w:bookmarkStart w:id="91" w:name="_Toc414692987"/>
      <w:bookmarkStart w:id="92" w:name="_Toc415732374"/>
      <w:bookmarkStart w:id="93" w:name="_Toc416085090"/>
      <w:bookmarkStart w:id="94" w:name="_Toc414692988"/>
      <w:bookmarkStart w:id="95" w:name="_Toc415732375"/>
      <w:bookmarkStart w:id="96" w:name="_Toc416085091"/>
      <w:bookmarkStart w:id="97" w:name="_Toc414692989"/>
      <w:bookmarkStart w:id="98" w:name="_Toc415732376"/>
      <w:bookmarkStart w:id="99" w:name="_Toc416085092"/>
      <w:bookmarkStart w:id="100" w:name="_Toc414692990"/>
      <w:bookmarkStart w:id="101" w:name="_Toc415732377"/>
      <w:bookmarkStart w:id="102" w:name="_Toc416085093"/>
      <w:bookmarkStart w:id="103" w:name="_Toc414692991"/>
      <w:bookmarkStart w:id="104" w:name="_Toc415732378"/>
      <w:bookmarkStart w:id="105" w:name="_Toc416085094"/>
      <w:bookmarkStart w:id="106" w:name="_Toc414692999"/>
      <w:bookmarkStart w:id="107" w:name="_Toc415732386"/>
      <w:bookmarkStart w:id="108" w:name="_Toc416085102"/>
      <w:bookmarkStart w:id="109" w:name="_Toc414693003"/>
      <w:bookmarkStart w:id="110" w:name="_Toc415732390"/>
      <w:bookmarkStart w:id="111" w:name="_Toc416085106"/>
      <w:bookmarkStart w:id="112" w:name="_Toc416085002"/>
      <w:bookmarkStart w:id="113" w:name="_Toc50195786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29112E">
        <w:rPr>
          <w:rStyle w:val="13"/>
          <w:sz w:val="27"/>
          <w:szCs w:val="27"/>
        </w:rPr>
        <w:lastRenderedPageBreak/>
        <w:t>ТЕРМИНЫ И ПРИНЯТЫЕ СОКРАЩЕНИЯ</w:t>
      </w:r>
      <w:bookmarkEnd w:id="112"/>
      <w:bookmarkEnd w:id="113"/>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ОИК АСТУ –</w:t>
      </w:r>
      <w:r>
        <w:rPr>
          <w:b/>
        </w:rPr>
        <w:t xml:space="preserve"> </w:t>
      </w:r>
      <w:r w:rsidR="00AF1D01" w:rsidRPr="008670A2">
        <w:rPr>
          <w:sz w:val="27"/>
          <w:szCs w:val="27"/>
        </w:rPr>
        <w:t>оперативн</w:t>
      </w:r>
      <w:r w:rsidR="00AF1D01">
        <w:rPr>
          <w:sz w:val="27"/>
          <w:szCs w:val="27"/>
        </w:rPr>
        <w:t xml:space="preserve">ый </w:t>
      </w:r>
      <w:r w:rsidRPr="008670A2">
        <w:rPr>
          <w:sz w:val="27"/>
          <w:szCs w:val="27"/>
        </w:rPr>
        <w:t>информационный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Power line communication)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General Packet Radio Service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third generation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4" w:name="_Toc415732286"/>
      <w:bookmarkStart w:id="115" w:name="_Toc416085003"/>
      <w:bookmarkStart w:id="116" w:name="_Toc501957868"/>
      <w:r w:rsidRPr="0029112E">
        <w:rPr>
          <w:rStyle w:val="13"/>
          <w:sz w:val="27"/>
          <w:szCs w:val="27"/>
        </w:rPr>
        <w:lastRenderedPageBreak/>
        <w:t>ТЕХНИЧЕСКИЕ СРЕДСТВА</w:t>
      </w:r>
      <w:bookmarkEnd w:id="114"/>
      <w:bookmarkEnd w:id="115"/>
      <w:bookmarkEnd w:id="116"/>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w:t>
      </w:r>
      <w:r w:rsidR="00AF1D01">
        <w:rPr>
          <w:sz w:val="27"/>
          <w:szCs w:val="27"/>
        </w:rPr>
        <w:t>Россети</w:t>
      </w:r>
      <w:r>
        <w:rPr>
          <w:sz w:val="27"/>
          <w:szCs w:val="27"/>
        </w:rPr>
        <w:t>».</w:t>
      </w:r>
    </w:p>
    <w:p w:rsidR="00D113C1" w:rsidRPr="0029112E" w:rsidRDefault="00D113C1" w:rsidP="00D113C1">
      <w:pPr>
        <w:ind w:firstLine="709"/>
        <w:jc w:val="both"/>
        <w:rPr>
          <w:sz w:val="27"/>
          <w:szCs w:val="27"/>
        </w:rPr>
      </w:pPr>
      <w:r w:rsidRPr="0029112E">
        <w:rPr>
          <w:sz w:val="27"/>
          <w:szCs w:val="27"/>
        </w:rPr>
        <w:t>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полукосвенное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7" w:name="_Toc415732287"/>
      <w:bookmarkStart w:id="118" w:name="_Toc416085004"/>
      <w:bookmarkStart w:id="119" w:name="_Toc501957869"/>
      <w:r w:rsidRPr="0029112E">
        <w:rPr>
          <w:rStyle w:val="13"/>
          <w:sz w:val="27"/>
          <w:szCs w:val="27"/>
        </w:rPr>
        <w:t>ТЕХНИЧЕСКИЕ РЕШЕНИЯ</w:t>
      </w:r>
      <w:bookmarkEnd w:id="117"/>
      <w:bookmarkEnd w:id="118"/>
      <w:bookmarkEnd w:id="119"/>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(ИВК)</w:t>
      </w:r>
      <w:r w:rsidR="008670A2" w:rsidRPr="008670A2">
        <w:rPr>
          <w:sz w:val="27"/>
          <w:szCs w:val="27"/>
        </w:rPr>
        <w:t xml:space="preserve">,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t xml:space="preserve">Рабочая документация на систему учета электроэнергии  должна базироваться на расчете, проведенном в соответствии с принятыми в проекте </w:t>
      </w:r>
      <w:r w:rsidRPr="0029112E">
        <w:rPr>
          <w:sz w:val="27"/>
          <w:szCs w:val="27"/>
        </w:rPr>
        <w:lastRenderedPageBreak/>
        <w:t xml:space="preserve">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пожарозащитного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(саморезами).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четырехквартирные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Крепление</w:t>
      </w:r>
      <w:r w:rsidR="00AF1D01">
        <w:rPr>
          <w:sz w:val="27"/>
          <w:szCs w:val="27"/>
        </w:rPr>
        <w:t xml:space="preserve"> шкафа</w:t>
      </w:r>
      <w:r w:rsidRPr="0029112E">
        <w:rPr>
          <w:sz w:val="27"/>
          <w:szCs w:val="27"/>
        </w:rPr>
        <w:t xml:space="preserve">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месте, удобном для обслуживания. В ТП закрытого типа при наличии обогрева монтаж приборов учета и концентраторов (шлюзов) производить без </w:t>
      </w:r>
      <w:r w:rsidRPr="0029112E">
        <w:rPr>
          <w:sz w:val="27"/>
          <w:szCs w:val="27"/>
        </w:rPr>
        <w:lastRenderedPageBreak/>
        <w:t xml:space="preserve">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более потребителей и невозможен монтаж выносных шкафов учета на фасадах соответствующих домовладений. Возможен вариант установки в одном шкафу </w:t>
      </w:r>
      <w:r w:rsidR="00D113C1" w:rsidRPr="0029112E">
        <w:rPr>
          <w:sz w:val="27"/>
          <w:szCs w:val="27"/>
        </w:rPr>
        <w:lastRenderedPageBreak/>
        <w:t xml:space="preserve">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ответвительного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0" w:name="_Toc416085005"/>
      <w:bookmarkStart w:id="121" w:name="_Toc501957870"/>
      <w:r w:rsidRPr="0029112E">
        <w:rPr>
          <w:rStyle w:val="13"/>
          <w:sz w:val="27"/>
          <w:szCs w:val="27"/>
        </w:rPr>
        <w:lastRenderedPageBreak/>
        <w:t>МЕРЫ БЕЗОПАСНОСТИ</w:t>
      </w:r>
      <w:bookmarkEnd w:id="120"/>
      <w:bookmarkEnd w:id="121"/>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2" w:name="_Toc416085006"/>
      <w:bookmarkStart w:id="123" w:name="_Toc501957871"/>
      <w:r w:rsidRPr="0029112E">
        <w:rPr>
          <w:rStyle w:val="13"/>
          <w:sz w:val="27"/>
          <w:szCs w:val="27"/>
        </w:rPr>
        <w:t>МЕРОПРИЯТИЯ ПО ПОДГОТОВКЕ ОБЪЕКТА АВТОМАТИЗАЦИИ К ВВОДУ В ЭКСПЛУАТАЦИЮ</w:t>
      </w:r>
      <w:bookmarkEnd w:id="122"/>
      <w:bookmarkEnd w:id="123"/>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80050C">
      <w:pPr>
        <w:ind w:firstLine="360"/>
        <w:jc w:val="both"/>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A253DB" w:rsidRPr="00A253DB" w:rsidRDefault="00A253DB" w:rsidP="00A253DB">
      <w:pPr>
        <w:tabs>
          <w:tab w:val="left" w:pos="2611"/>
        </w:tabs>
        <w:jc w:val="both"/>
      </w:pPr>
      <w:r w:rsidRPr="00A253DB">
        <w:rPr>
          <w:b/>
        </w:rPr>
        <w:t>ПРИМЕЧАНИЕ:</w:t>
      </w:r>
      <w:r w:rsidRPr="00A253DB">
        <w:t xml:space="preserve"> </w:t>
      </w:r>
      <w:r>
        <w:t>предлагаемый перечень типовых технических решений не является исчерпывающим. При проектировании допускается применение технических решений не указанных в данном перечне при условии соблюдения технических и функциональных требований указанных в техническом задании.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r>
        <w:rPr>
          <w:rStyle w:val="13"/>
          <w:rFonts w:eastAsia="Calibri"/>
          <w:lang w:val="ru-RU"/>
        </w:rPr>
        <w:lastRenderedPageBreak/>
        <w:t>РАЗДЕЛ 1: Модернизация/организация учета электроэнергии.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D113C1" w:rsidRDefault="00D113C1" w:rsidP="00D113C1">
      <w:pPr>
        <w:jc w:val="center"/>
        <w:rPr>
          <w:b/>
        </w:rPr>
      </w:pPr>
      <w:r>
        <w:rPr>
          <w:b/>
        </w:rPr>
        <w:t xml:space="preserve">№2. </w:t>
      </w:r>
      <w:r w:rsidRPr="001F1C2A">
        <w:rPr>
          <w:b/>
        </w:rPr>
        <w:t>Установка 1ф. прибора на неизолированный провод (в разрыв) split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47C89A43" wp14:editId="75D2E310">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7">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365DDE24" wp14:editId="4A1FD256">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3</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4</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Шайба - гровер</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lang w:val="en-US"/>
        </w:rPr>
      </w:pPr>
    </w:p>
    <w:p w:rsidR="00F662BF" w:rsidRDefault="00F662BF" w:rsidP="00D113C1">
      <w:pPr>
        <w:tabs>
          <w:tab w:val="left" w:pos="2569"/>
        </w:tabs>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Default="00F662BF" w:rsidP="00F662BF">
      <w:pPr>
        <w:tabs>
          <w:tab w:val="left" w:pos="1155"/>
        </w:tabs>
        <w:rPr>
          <w:rFonts w:eastAsia="Calibri"/>
          <w:sz w:val="28"/>
          <w:szCs w:val="28"/>
          <w:lang w:val="en-US"/>
        </w:rPr>
      </w:pPr>
      <w:r>
        <w:rPr>
          <w:rFonts w:eastAsia="Calibri"/>
          <w:sz w:val="28"/>
          <w:szCs w:val="28"/>
          <w:lang w:val="en-US"/>
        </w:rPr>
        <w:tab/>
      </w:r>
    </w:p>
    <w:p w:rsidR="00F662BF" w:rsidRPr="00F662BF" w:rsidRDefault="00F662BF" w:rsidP="00F662BF">
      <w:pPr>
        <w:tabs>
          <w:tab w:val="left" w:pos="1155"/>
        </w:tabs>
        <w:rPr>
          <w:rFonts w:eastAsia="Calibri"/>
          <w:sz w:val="28"/>
          <w:szCs w:val="28"/>
          <w:lang w:val="en-US"/>
        </w:rPr>
      </w:pPr>
    </w:p>
    <w:p w:rsidR="00F662BF" w:rsidRDefault="00F662BF" w:rsidP="00F662BF">
      <w:pPr>
        <w:rPr>
          <w:rFonts w:eastAsia="Calibri"/>
          <w:sz w:val="28"/>
          <w:szCs w:val="28"/>
          <w:lang w:val="en-US"/>
        </w:rPr>
      </w:pPr>
    </w:p>
    <w:p w:rsidR="00F662BF" w:rsidRDefault="00F662BF" w:rsidP="00F662BF">
      <w:pPr>
        <w:jc w:val="center"/>
        <w:rPr>
          <w:b/>
        </w:rPr>
      </w:pPr>
      <w:r>
        <w:rPr>
          <w:b/>
        </w:rPr>
        <w:t>№</w:t>
      </w:r>
      <w:r w:rsidRPr="00F662BF">
        <w:rPr>
          <w:b/>
        </w:rPr>
        <w:t xml:space="preserve"> 2</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E27703" w:rsidP="00F662BF">
      <w:pPr>
        <w:jc w:val="center"/>
      </w:pPr>
      <w:r>
        <w:rPr>
          <w:noProof/>
        </w:rPr>
        <w:drawing>
          <wp:inline distT="0" distB="0" distL="0" distR="0" wp14:anchorId="41D4FD1E" wp14:editId="22FF3381">
            <wp:extent cx="5200015" cy="3307715"/>
            <wp:effectExtent l="0" t="0" r="0" b="6985"/>
            <wp:docPr id="1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F662BF" w:rsidRPr="00F662BF" w:rsidRDefault="00F662BF" w:rsidP="00F662BF">
      <w:pPr>
        <w:rPr>
          <w:rFonts w:eastAsia="Calibri"/>
          <w:sz w:val="28"/>
          <w:szCs w:val="28"/>
          <w:lang w:val="en-US"/>
        </w:rPr>
        <w:sectPr w:rsidR="00F662BF" w:rsidRPr="00F662BF" w:rsidSect="00EE622C">
          <w:footerReference w:type="default" r:id="rId10"/>
          <w:pgSz w:w="11906" w:h="16838"/>
          <w:pgMar w:top="851" w:right="850" w:bottom="851" w:left="1701" w:header="708" w:footer="708" w:gutter="0"/>
          <w:cols w:space="708"/>
          <w:titlePg/>
          <w:docGrid w:linePitch="360"/>
        </w:sectPr>
      </w:pPr>
    </w:p>
    <w:p w:rsidR="00D113C1" w:rsidRDefault="00D113C1" w:rsidP="00C06573">
      <w:pPr>
        <w:tabs>
          <w:tab w:val="left" w:pos="567"/>
        </w:tabs>
        <w:jc w:val="both"/>
        <w:rPr>
          <w:b/>
        </w:rPr>
      </w:pPr>
      <w:r>
        <w:rPr>
          <w:rFonts w:eastAsia="Calibri"/>
          <w:sz w:val="28"/>
          <w:szCs w:val="28"/>
        </w:rPr>
        <w:lastRenderedPageBreak/>
        <w:tab/>
      </w:r>
      <w:r w:rsidRPr="0075507A">
        <w:rPr>
          <w:b/>
        </w:rPr>
        <w:t>№</w:t>
      </w:r>
      <w:r w:rsidR="00C06573">
        <w:rPr>
          <w:b/>
        </w:rPr>
        <w:t xml:space="preserve"> </w:t>
      </w:r>
      <w:r w:rsidR="00C06573" w:rsidRPr="00C06573">
        <w:rPr>
          <w:b/>
        </w:rPr>
        <w:t>6</w:t>
      </w:r>
      <w:r w:rsidRPr="0075507A">
        <w:rPr>
          <w:b/>
        </w:rPr>
        <w:t>.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6C078D85" wp14:editId="78CD06B2">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1">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5</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6</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C06573" w:rsidRDefault="00C06573" w:rsidP="00D113C1">
      <w:pPr>
        <w:tabs>
          <w:tab w:val="left" w:pos="1140"/>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277"/>
        </w:tabs>
        <w:rPr>
          <w:rFonts w:eastAsia="Calibri"/>
          <w:sz w:val="28"/>
          <w:szCs w:val="28"/>
          <w:lang w:val="en-US"/>
        </w:rPr>
      </w:pPr>
      <w:r>
        <w:rPr>
          <w:rFonts w:eastAsia="Calibri"/>
          <w:sz w:val="28"/>
          <w:szCs w:val="28"/>
        </w:rPr>
        <w:tab/>
      </w: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Pr="00C06573" w:rsidRDefault="00C06573" w:rsidP="00C06573">
      <w:pPr>
        <w:tabs>
          <w:tab w:val="left" w:pos="1277"/>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w:t>
      </w:r>
      <w:r>
        <w:rPr>
          <w:b/>
        </w:rPr>
        <w:t>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C06573" w:rsidP="00C06573">
      <w:pPr>
        <w:jc w:val="center"/>
      </w:pPr>
      <w:r w:rsidRPr="005E1EB0">
        <w:object w:dxaOrig="10711" w:dyaOrig="5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09.5pt;height:260.25pt" o:ole="">
            <v:imagedata r:id="rId12" o:title=""/>
          </v:shape>
          <o:OLEObject Type="Embed" ProgID="Visio.Drawing.11" ShapeID="_x0000_i1029" DrawAspect="Content" ObjectID="_1675246174" r:id="rId13"/>
        </w:obje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00C937C4">
        <w:rPr>
          <w:b/>
        </w:rPr>
        <w:t xml:space="preserve"> </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1460D26A" wp14:editId="6174E1DB">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14">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C0974FC" wp14:editId="71D9CCFF">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15">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B9A5097" wp14:editId="7A1297BB">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16">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C937C4" w:rsidRDefault="00C937C4" w:rsidP="00C937C4">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286F3E" w:rsidRDefault="00286F3E" w:rsidP="00286F3E">
      <w:pPr>
        <w:jc w:val="center"/>
        <w:rPr>
          <w:rStyle w:val="13"/>
          <w:rFonts w:eastAsia="Calibri"/>
          <w:lang w:val="ru-RU"/>
        </w:rPr>
      </w:pPr>
      <w:r>
        <w:rPr>
          <w:rStyle w:val="13"/>
          <w:rFonts w:eastAsia="Calibri"/>
          <w:lang w:val="ru-RU"/>
        </w:rPr>
        <w:lastRenderedPageBreak/>
        <w:t>РАЗДЕЛ 2: Модернизация/организация учета электроэнергии совместно с телемеханикой на ТП 6-10/0,4кВ.</w:t>
      </w:r>
    </w:p>
    <w:p w:rsidR="00437F7C" w:rsidRDefault="00437F7C" w:rsidP="0092634C">
      <w:pPr>
        <w:jc w:val="center"/>
        <w:rPr>
          <w:b/>
        </w:rPr>
      </w:pPr>
    </w:p>
    <w:p w:rsidR="00A24C10" w:rsidRDefault="00A24C10" w:rsidP="0092634C">
      <w:pPr>
        <w:jc w:val="center"/>
        <w:rPr>
          <w:b/>
        </w:rPr>
      </w:pPr>
      <w:r>
        <w:rPr>
          <w:b/>
        </w:rPr>
        <w:t>№</w:t>
      </w:r>
      <w:r w:rsidR="00E22CE1">
        <w:rPr>
          <w:b/>
        </w:rPr>
        <w:t xml:space="preserve"> </w:t>
      </w:r>
      <w:r w:rsidR="002363E3">
        <w:rPr>
          <w:b/>
        </w:rPr>
        <w:t>72</w:t>
      </w:r>
      <w:r w:rsidR="00E22CE1">
        <w:rPr>
          <w:b/>
        </w:rPr>
        <w:t xml:space="preserve"> </w:t>
      </w:r>
      <w:r w:rsidRPr="000D3C62">
        <w:rPr>
          <w:b/>
        </w:rPr>
        <w:t>(</w:t>
      </w:r>
      <w:r w:rsidR="002363E3">
        <w:rPr>
          <w:b/>
        </w:rPr>
        <w:t>2</w:t>
      </w:r>
      <w:r>
        <w:rPr>
          <w:b/>
        </w:rPr>
        <w:t>б</w:t>
      </w:r>
      <w:r w:rsidRPr="000D3C62">
        <w:rPr>
          <w:b/>
        </w:rPr>
        <w:t>)</w:t>
      </w:r>
      <w:r w:rsidRPr="00747A58">
        <w:rPr>
          <w:b/>
        </w:rPr>
        <w:t xml:space="preserve">. </w:t>
      </w:r>
      <w:r w:rsidR="002363E3" w:rsidRPr="002363E3">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не более 6 .</w:t>
      </w:r>
      <w:r w:rsidR="002363E3">
        <w:rPr>
          <w:b/>
        </w:rPr>
        <w:t xml:space="preserve"> </w:t>
      </w:r>
    </w:p>
    <w:p w:rsidR="00A24C10" w:rsidRDefault="00B8431E" w:rsidP="0092634C">
      <w:pPr>
        <w:jc w:val="center"/>
        <w:rPr>
          <w:b/>
        </w:rPr>
      </w:pPr>
      <w:r>
        <w:rPr>
          <w:b/>
          <w:noProof/>
        </w:rPr>
        <w:drawing>
          <wp:inline distT="0" distB="0" distL="0" distR="0" wp14:anchorId="16938534" wp14:editId="3469E386">
            <wp:extent cx="1781175" cy="2089951"/>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7691" cy="2097597"/>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065" w:type="dxa"/>
        <w:tblInd w:w="-459" w:type="dxa"/>
        <w:tblLayout w:type="fixed"/>
        <w:tblLook w:val="04A0" w:firstRow="1" w:lastRow="0" w:firstColumn="1" w:lastColumn="0" w:noHBand="0" w:noVBand="1"/>
      </w:tblPr>
      <w:tblGrid>
        <w:gridCol w:w="567"/>
        <w:gridCol w:w="7513"/>
        <w:gridCol w:w="851"/>
        <w:gridCol w:w="1134"/>
      </w:tblGrid>
      <w:tr w:rsidR="002363E3" w:rsidRPr="002363E3" w:rsidTr="002363E3">
        <w:trPr>
          <w:trHeight w:val="2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xml:space="preserve">Кол-во </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Модуль суперконденсаторный (ионистор)*</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Козырек дождезащитный для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Комплектующие для сборки шкафа: клеммы, провод, гермовводы,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компл.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Металлорукав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КВВГЭнг-LS 10×1,5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КПСнг(А)-FRLS 2х2х0,5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Извещатель охранный двери ТП (магнитоконтактный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размыкателями и встроенной защитой подводящего кабеля</w:t>
            </w:r>
            <w:r w:rsidR="003526E3">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Гофротруба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58</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Прочие материалы: DIN рейка, наконечники кабельные, пластиковый кабель-канал, клипсы крепления гофротрубы и металлорукава,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компл.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bl>
    <w:p w:rsidR="002363E3" w:rsidRPr="002363E3" w:rsidRDefault="002363E3" w:rsidP="002363E3">
      <w:pPr>
        <w:spacing w:before="120"/>
        <w:contextualSpacing/>
        <w:jc w:val="both"/>
        <w:rPr>
          <w:sz w:val="20"/>
          <w:szCs w:val="20"/>
        </w:rPr>
      </w:pPr>
      <w:r w:rsidRPr="002363E3">
        <w:rPr>
          <w:sz w:val="20"/>
          <w:szCs w:val="20"/>
        </w:rPr>
        <w:t>* Позиции могут быть совме</w:t>
      </w:r>
      <w:r>
        <w:rPr>
          <w:sz w:val="20"/>
          <w:szCs w:val="20"/>
        </w:rPr>
        <w:t xml:space="preserve">щены на базе единого устройства, </w:t>
      </w:r>
      <w:r w:rsidRPr="002363E3">
        <w:rPr>
          <w:sz w:val="20"/>
          <w:szCs w:val="20"/>
        </w:rPr>
        <w:t>** Количество определяется исходя из необходимости сбора 26 ТС</w:t>
      </w:r>
      <w:r>
        <w:rPr>
          <w:sz w:val="20"/>
          <w:szCs w:val="20"/>
        </w:rPr>
        <w:t xml:space="preserve">, </w:t>
      </w:r>
      <w:r w:rsidRPr="002363E3">
        <w:rPr>
          <w:sz w:val="20"/>
          <w:szCs w:val="20"/>
        </w:rPr>
        <w:t>*** Количество клемм равно количеству ТС о наличии напряжения на фазах</w:t>
      </w:r>
      <w:r>
        <w:rPr>
          <w:sz w:val="20"/>
          <w:szCs w:val="20"/>
        </w:rPr>
        <w:t xml:space="preserve">, </w:t>
      </w:r>
      <w:r w:rsidRPr="002363E3">
        <w:rPr>
          <w:sz w:val="20"/>
          <w:szCs w:val="20"/>
        </w:rPr>
        <w:tab/>
      </w:r>
    </w:p>
    <w:p w:rsidR="002363E3" w:rsidRDefault="002363E3" w:rsidP="002363E3">
      <w:pPr>
        <w:spacing w:before="120"/>
        <w:contextualSpacing/>
        <w:jc w:val="both"/>
        <w:rPr>
          <w:b/>
        </w:rPr>
      </w:pPr>
      <w:r w:rsidRPr="002363E3">
        <w:rPr>
          <w:sz w:val="20"/>
          <w:szCs w:val="20"/>
        </w:rPr>
        <w:lastRenderedPageBreak/>
        <w:t>**** Предусматривается в случае наружной установки шкафа</w:t>
      </w:r>
      <w:r>
        <w:rPr>
          <w:sz w:val="20"/>
          <w:szCs w:val="20"/>
        </w:rPr>
        <w:t xml:space="preserve">, </w:t>
      </w:r>
      <w:r w:rsidRPr="002363E3">
        <w:rPr>
          <w:sz w:val="20"/>
          <w:szCs w:val="20"/>
        </w:rPr>
        <w:t>***** В зависимости от типа опрашиваемых счетчиков э/э</w:t>
      </w:r>
      <w:r>
        <w:rPr>
          <w:sz w:val="20"/>
          <w:szCs w:val="20"/>
        </w:rPr>
        <w:t xml:space="preserve">. </w:t>
      </w:r>
      <w:r w:rsidRPr="002363E3">
        <w:rPr>
          <w:b/>
        </w:rPr>
        <w:tab/>
      </w:r>
      <w:r w:rsidRPr="002363E3">
        <w:rPr>
          <w:b/>
        </w:rPr>
        <w:tab/>
      </w:r>
      <w:r w:rsidRPr="002363E3">
        <w:rPr>
          <w:b/>
        </w:rPr>
        <w:tab/>
      </w:r>
      <w:r w:rsidRPr="002363E3">
        <w:rPr>
          <w:b/>
        </w:rPr>
        <w:tab/>
      </w:r>
      <w:r w:rsidRPr="002363E3">
        <w:rPr>
          <w:b/>
        </w:rPr>
        <w:tab/>
      </w:r>
    </w:p>
    <w:p w:rsidR="002363E3" w:rsidRDefault="002363E3" w:rsidP="0092634C">
      <w:pPr>
        <w:jc w:val="center"/>
        <w:rPr>
          <w:b/>
        </w:rPr>
      </w:pPr>
    </w:p>
    <w:p w:rsidR="002363E3" w:rsidRDefault="002363E3" w:rsidP="0092634C">
      <w:pPr>
        <w:jc w:val="center"/>
        <w:rPr>
          <w:b/>
        </w:rPr>
      </w:pPr>
    </w:p>
    <w:p w:rsidR="00C937C4" w:rsidRPr="00BF292F" w:rsidRDefault="00C937C4" w:rsidP="00AA1396">
      <w:pPr>
        <w:tabs>
          <w:tab w:val="left" w:pos="2611"/>
        </w:tabs>
        <w:rPr>
          <w:b/>
        </w:rPr>
      </w:pPr>
      <w:r>
        <w:rPr>
          <w:b/>
        </w:rPr>
        <w:t>№</w:t>
      </w:r>
      <w:r w:rsidR="00AA1396">
        <w:rPr>
          <w:b/>
        </w:rPr>
        <w:t xml:space="preserve"> 73</w:t>
      </w:r>
      <w:r w:rsidRPr="00747A58">
        <w:rPr>
          <w:b/>
        </w:rPr>
        <w:t xml:space="preserve">. </w:t>
      </w:r>
      <w:r w:rsidRPr="00D045E7">
        <w:rPr>
          <w:b/>
        </w:rPr>
        <w:t>Замена существующих/установка</w:t>
      </w:r>
      <w:r w:rsidRPr="00BF292F">
        <w:rPr>
          <w:b/>
        </w:rPr>
        <w:t xml:space="preserve"> трансформаторов тока (0,66кВ) 100/5А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p>
    <w:p w:rsidR="00C937C4" w:rsidRDefault="00C937C4" w:rsidP="00C937C4">
      <w:pPr>
        <w:jc w:val="center"/>
      </w:pPr>
      <w:r w:rsidRPr="005E1EB0">
        <w:object w:dxaOrig="11917" w:dyaOrig="16853">
          <v:shape id="_x0000_i1062" type="#_x0000_t75" style="width:343.5pt;height:471.75pt" o:ole="">
            <v:imagedata r:id="rId18" o:title="" croptop="36259f" cropbottom="7921f" cropleft="651f" cropright="43441f"/>
          </v:shape>
          <o:OLEObject Type="Embed" ProgID="Visio.Drawing.11" ShapeID="_x0000_i1062" DrawAspect="Content" ObjectID="_1675246175" r:id="rId19"/>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Default="00C937C4" w:rsidP="00FA2CFF">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C937C4" w:rsidRPr="00B6609A" w:rsidRDefault="00C937C4" w:rsidP="00FA2CFF">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75</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4" type="#_x0000_t75" style="width:343.5pt;height:471.75pt" o:ole="">
            <v:imagedata r:id="rId18" o:title="" croptop="36259f" cropbottom="7921f" cropleft="651f" cropright="43441f"/>
          </v:shape>
          <o:OLEObject Type="Embed" ProgID="Visio.Drawing.11" ShapeID="_x0000_i1064" DrawAspect="Content" ObjectID="_1675246176" r:id="rId20"/>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76</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5" type="#_x0000_t75" style="width:343.5pt;height:471.75pt" o:ole="">
            <v:imagedata r:id="rId18" o:title="" croptop="36259f" cropbottom="7921f" cropleft="651f" cropright="43441f"/>
          </v:shape>
          <o:OLEObject Type="Embed" ProgID="Visio.Drawing.11" ShapeID="_x0000_i1065" DrawAspect="Content" ObjectID="_1675246177" r:id="rId21"/>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77</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6" type="#_x0000_t75" style="width:343.5pt;height:471.75pt" o:ole="">
            <v:imagedata r:id="rId18" o:title="" croptop="36259f" cropbottom="7921f" cropleft="651f" cropright="43441f"/>
          </v:shape>
          <o:OLEObject Type="Embed" ProgID="Visio.Drawing.11" ShapeID="_x0000_i1066" DrawAspect="Content" ObjectID="_1675246178" r:id="rId22"/>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A253DB" w:rsidRDefault="00A253DB" w:rsidP="00437F7C">
      <w:pPr>
        <w:rPr>
          <w:lang w:val="en-US"/>
        </w:rPr>
      </w:pPr>
      <w:bookmarkStart w:id="124" w:name="_GoBack"/>
      <w:bookmarkEnd w:id="124"/>
    </w:p>
    <w:sectPr w:rsidR="00A253DB"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5B24" w:rsidRDefault="00145B24" w:rsidP="000E40E5">
      <w:r>
        <w:separator/>
      </w:r>
    </w:p>
  </w:endnote>
  <w:endnote w:type="continuationSeparator" w:id="0">
    <w:p w:rsidR="00145B24" w:rsidRDefault="00145B24"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3572347"/>
      <w:docPartObj>
        <w:docPartGallery w:val="Page Numbers (Bottom of Page)"/>
        <w:docPartUnique/>
      </w:docPartObj>
    </w:sdtPr>
    <w:sdtContent>
      <w:p w:rsidR="00AD029B" w:rsidRDefault="00AD029B">
        <w:pPr>
          <w:pStyle w:val="af1"/>
          <w:jc w:val="right"/>
        </w:pPr>
        <w:r>
          <w:fldChar w:fldCharType="begin"/>
        </w:r>
        <w:r>
          <w:instrText>PAGE   \* MERGEFORMAT</w:instrText>
        </w:r>
        <w:r>
          <w:fldChar w:fldCharType="separate"/>
        </w:r>
        <w:r w:rsidR="00437F7C" w:rsidRPr="00437F7C">
          <w:rPr>
            <w:noProof/>
            <w:lang w:val="ru-RU"/>
          </w:rPr>
          <w:t>16</w:t>
        </w:r>
        <w:r>
          <w:fldChar w:fldCharType="end"/>
        </w:r>
      </w:p>
    </w:sdtContent>
  </w:sdt>
  <w:p w:rsidR="00AD029B" w:rsidRDefault="00AD029B">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5B24" w:rsidRDefault="00145B24" w:rsidP="000E40E5">
      <w:r>
        <w:separator/>
      </w:r>
    </w:p>
  </w:footnote>
  <w:footnote w:type="continuationSeparator" w:id="0">
    <w:p w:rsidR="00145B24" w:rsidRDefault="00145B24" w:rsidP="000E40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CE587F24"/>
    <w:lvl w:ilvl="0">
      <w:numFmt w:val="decimal"/>
      <w:pStyle w:val="a0"/>
      <w:lvlText w:val="*"/>
      <w:lvlJc w:val="left"/>
    </w:lvl>
  </w:abstractNum>
  <w:abstractNum w:abstractNumId="3" w15:restartNumberingAfterBreak="0">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15:restartNumberingAfterBreak="0">
    <w:nsid w:val="0526374D"/>
    <w:multiLevelType w:val="multilevel"/>
    <w:tmpl w:val="AEA44742"/>
    <w:lvl w:ilvl="0">
      <w:start w:val="5"/>
      <w:numFmt w:val="decimal"/>
      <w:lvlText w:val="%1"/>
      <w:lvlJc w:val="left"/>
      <w:pPr>
        <w:ind w:left="720" w:hanging="360"/>
      </w:pPr>
      <w:rPr>
        <w:rFonts w:hint="default"/>
        <w:b w:val="0"/>
        <w:i w:val="0"/>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15:restartNumberingAfterBreak="0">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15:restartNumberingAfterBreak="0">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15:restartNumberingAfterBreak="0">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15:restartNumberingAfterBreak="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15:restartNumberingAfterBreak="0">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15:restartNumberingAfterBreak="0">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15:restartNumberingAfterBreak="0">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15:restartNumberingAfterBreak="0">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15:restartNumberingAfterBreak="0">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15:restartNumberingAfterBreak="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00631"/>
    <w:rsid w:val="00023EC4"/>
    <w:rsid w:val="00044E22"/>
    <w:rsid w:val="000757AA"/>
    <w:rsid w:val="00084EB2"/>
    <w:rsid w:val="000911C0"/>
    <w:rsid w:val="00093D6C"/>
    <w:rsid w:val="000C1D16"/>
    <w:rsid w:val="000C5DFB"/>
    <w:rsid w:val="000D3C62"/>
    <w:rsid w:val="000D4E80"/>
    <w:rsid w:val="000E245C"/>
    <w:rsid w:val="000E40E5"/>
    <w:rsid w:val="00101202"/>
    <w:rsid w:val="001054BA"/>
    <w:rsid w:val="001121D9"/>
    <w:rsid w:val="00121BA8"/>
    <w:rsid w:val="00122E90"/>
    <w:rsid w:val="0014167C"/>
    <w:rsid w:val="00145B24"/>
    <w:rsid w:val="001624FE"/>
    <w:rsid w:val="001850FD"/>
    <w:rsid w:val="00190D83"/>
    <w:rsid w:val="001A52FB"/>
    <w:rsid w:val="001A68DC"/>
    <w:rsid w:val="001E376C"/>
    <w:rsid w:val="002013EE"/>
    <w:rsid w:val="00215E82"/>
    <w:rsid w:val="00223DD9"/>
    <w:rsid w:val="002363E3"/>
    <w:rsid w:val="0024620F"/>
    <w:rsid w:val="002516D5"/>
    <w:rsid w:val="00253527"/>
    <w:rsid w:val="00270C53"/>
    <w:rsid w:val="00286F3E"/>
    <w:rsid w:val="002939EF"/>
    <w:rsid w:val="002F034D"/>
    <w:rsid w:val="0030312D"/>
    <w:rsid w:val="00316782"/>
    <w:rsid w:val="00323FF1"/>
    <w:rsid w:val="00333CA2"/>
    <w:rsid w:val="00337C0D"/>
    <w:rsid w:val="003406C4"/>
    <w:rsid w:val="003526E3"/>
    <w:rsid w:val="003544A6"/>
    <w:rsid w:val="00365791"/>
    <w:rsid w:val="0037191B"/>
    <w:rsid w:val="003778B5"/>
    <w:rsid w:val="003903A3"/>
    <w:rsid w:val="00396BA1"/>
    <w:rsid w:val="00396E5F"/>
    <w:rsid w:val="003B184B"/>
    <w:rsid w:val="003C1E0E"/>
    <w:rsid w:val="003C3957"/>
    <w:rsid w:val="003C463B"/>
    <w:rsid w:val="003D2CBF"/>
    <w:rsid w:val="003D4A85"/>
    <w:rsid w:val="003E0E3C"/>
    <w:rsid w:val="003F2757"/>
    <w:rsid w:val="00437F7C"/>
    <w:rsid w:val="00467D4F"/>
    <w:rsid w:val="004D34AF"/>
    <w:rsid w:val="004E3052"/>
    <w:rsid w:val="004F08B0"/>
    <w:rsid w:val="004F2B8F"/>
    <w:rsid w:val="004F3F02"/>
    <w:rsid w:val="00510AD1"/>
    <w:rsid w:val="0051602A"/>
    <w:rsid w:val="00517B21"/>
    <w:rsid w:val="00521E8A"/>
    <w:rsid w:val="00526FE0"/>
    <w:rsid w:val="005306A4"/>
    <w:rsid w:val="00530D32"/>
    <w:rsid w:val="0053106A"/>
    <w:rsid w:val="00557C59"/>
    <w:rsid w:val="00562840"/>
    <w:rsid w:val="005C479B"/>
    <w:rsid w:val="005D4395"/>
    <w:rsid w:val="00611EF3"/>
    <w:rsid w:val="0062637D"/>
    <w:rsid w:val="00633701"/>
    <w:rsid w:val="006530A2"/>
    <w:rsid w:val="006811EE"/>
    <w:rsid w:val="006A780D"/>
    <w:rsid w:val="006B2743"/>
    <w:rsid w:val="006D4114"/>
    <w:rsid w:val="006E5D48"/>
    <w:rsid w:val="006F052E"/>
    <w:rsid w:val="006F56EC"/>
    <w:rsid w:val="00732D1E"/>
    <w:rsid w:val="007573CC"/>
    <w:rsid w:val="00784685"/>
    <w:rsid w:val="007A738C"/>
    <w:rsid w:val="007C3B54"/>
    <w:rsid w:val="007D397C"/>
    <w:rsid w:val="007F2F7A"/>
    <w:rsid w:val="0080050C"/>
    <w:rsid w:val="00801340"/>
    <w:rsid w:val="00804FCE"/>
    <w:rsid w:val="008301F6"/>
    <w:rsid w:val="00836402"/>
    <w:rsid w:val="008670A2"/>
    <w:rsid w:val="0088328F"/>
    <w:rsid w:val="0089095F"/>
    <w:rsid w:val="008A162F"/>
    <w:rsid w:val="008C5248"/>
    <w:rsid w:val="008C644C"/>
    <w:rsid w:val="008F3AB0"/>
    <w:rsid w:val="0092634C"/>
    <w:rsid w:val="00931C35"/>
    <w:rsid w:val="00962406"/>
    <w:rsid w:val="00966377"/>
    <w:rsid w:val="00991AB5"/>
    <w:rsid w:val="009C25E5"/>
    <w:rsid w:val="009F4FDF"/>
    <w:rsid w:val="00A24C10"/>
    <w:rsid w:val="00A253DB"/>
    <w:rsid w:val="00A31DAA"/>
    <w:rsid w:val="00A502AD"/>
    <w:rsid w:val="00A778ED"/>
    <w:rsid w:val="00A904AD"/>
    <w:rsid w:val="00A95606"/>
    <w:rsid w:val="00AA1396"/>
    <w:rsid w:val="00AD029B"/>
    <w:rsid w:val="00AD2608"/>
    <w:rsid w:val="00AD2F49"/>
    <w:rsid w:val="00AE0539"/>
    <w:rsid w:val="00AF1D01"/>
    <w:rsid w:val="00B03777"/>
    <w:rsid w:val="00B215DB"/>
    <w:rsid w:val="00B22A5C"/>
    <w:rsid w:val="00B25E24"/>
    <w:rsid w:val="00B345A6"/>
    <w:rsid w:val="00B611E2"/>
    <w:rsid w:val="00B742C6"/>
    <w:rsid w:val="00B8431E"/>
    <w:rsid w:val="00B96B7F"/>
    <w:rsid w:val="00BC509D"/>
    <w:rsid w:val="00BE0538"/>
    <w:rsid w:val="00BF7224"/>
    <w:rsid w:val="00C059E7"/>
    <w:rsid w:val="00C06573"/>
    <w:rsid w:val="00C15BB8"/>
    <w:rsid w:val="00C3379F"/>
    <w:rsid w:val="00C44BCF"/>
    <w:rsid w:val="00C47CFC"/>
    <w:rsid w:val="00C6238D"/>
    <w:rsid w:val="00C726AE"/>
    <w:rsid w:val="00C937C4"/>
    <w:rsid w:val="00CC0CA8"/>
    <w:rsid w:val="00CE5C8E"/>
    <w:rsid w:val="00D045E7"/>
    <w:rsid w:val="00D113C1"/>
    <w:rsid w:val="00D20606"/>
    <w:rsid w:val="00D235CD"/>
    <w:rsid w:val="00D4101C"/>
    <w:rsid w:val="00D44765"/>
    <w:rsid w:val="00D47B76"/>
    <w:rsid w:val="00D5365C"/>
    <w:rsid w:val="00D57914"/>
    <w:rsid w:val="00D75F62"/>
    <w:rsid w:val="00D94212"/>
    <w:rsid w:val="00DA4FA0"/>
    <w:rsid w:val="00DA5E0E"/>
    <w:rsid w:val="00DC0439"/>
    <w:rsid w:val="00DC36C2"/>
    <w:rsid w:val="00DE25EC"/>
    <w:rsid w:val="00DE4520"/>
    <w:rsid w:val="00E04F25"/>
    <w:rsid w:val="00E22CE1"/>
    <w:rsid w:val="00E27703"/>
    <w:rsid w:val="00E42A64"/>
    <w:rsid w:val="00E6778D"/>
    <w:rsid w:val="00E877DD"/>
    <w:rsid w:val="00EB5E65"/>
    <w:rsid w:val="00ED3EF8"/>
    <w:rsid w:val="00EE622C"/>
    <w:rsid w:val="00F35CE9"/>
    <w:rsid w:val="00F363D7"/>
    <w:rsid w:val="00F41131"/>
    <w:rsid w:val="00F50610"/>
    <w:rsid w:val="00F662BF"/>
    <w:rsid w:val="00F85ACE"/>
    <w:rsid w:val="00FA2CFF"/>
    <w:rsid w:val="00FA7D1E"/>
    <w:rsid w:val="00FD0FA4"/>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3459940"/>
  <w15:docId w15:val="{184362B6-49C9-4D39-97CB-1200DCB7F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Заголовок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138309">
      <w:bodyDiv w:val="1"/>
      <w:marLeft w:val="0"/>
      <w:marRight w:val="0"/>
      <w:marTop w:val="0"/>
      <w:marBottom w:val="0"/>
      <w:divBdr>
        <w:top w:val="none" w:sz="0" w:space="0" w:color="auto"/>
        <w:left w:val="none" w:sz="0" w:space="0" w:color="auto"/>
        <w:bottom w:val="none" w:sz="0" w:space="0" w:color="auto"/>
        <w:right w:val="none" w:sz="0" w:space="0" w:color="auto"/>
      </w:divBdr>
    </w:div>
    <w:div w:id="143357595">
      <w:bodyDiv w:val="1"/>
      <w:marLeft w:val="0"/>
      <w:marRight w:val="0"/>
      <w:marTop w:val="0"/>
      <w:marBottom w:val="0"/>
      <w:divBdr>
        <w:top w:val="none" w:sz="0" w:space="0" w:color="auto"/>
        <w:left w:val="none" w:sz="0" w:space="0" w:color="auto"/>
        <w:bottom w:val="none" w:sz="0" w:space="0" w:color="auto"/>
        <w:right w:val="none" w:sz="0" w:space="0" w:color="auto"/>
      </w:divBdr>
    </w:div>
    <w:div w:id="237525182">
      <w:bodyDiv w:val="1"/>
      <w:marLeft w:val="0"/>
      <w:marRight w:val="0"/>
      <w:marTop w:val="0"/>
      <w:marBottom w:val="0"/>
      <w:divBdr>
        <w:top w:val="none" w:sz="0" w:space="0" w:color="auto"/>
        <w:left w:val="none" w:sz="0" w:space="0" w:color="auto"/>
        <w:bottom w:val="none" w:sz="0" w:space="0" w:color="auto"/>
        <w:right w:val="none" w:sz="0" w:space="0" w:color="auto"/>
      </w:divBdr>
    </w:div>
    <w:div w:id="311522853">
      <w:bodyDiv w:val="1"/>
      <w:marLeft w:val="0"/>
      <w:marRight w:val="0"/>
      <w:marTop w:val="0"/>
      <w:marBottom w:val="0"/>
      <w:divBdr>
        <w:top w:val="none" w:sz="0" w:space="0" w:color="auto"/>
        <w:left w:val="none" w:sz="0" w:space="0" w:color="auto"/>
        <w:bottom w:val="none" w:sz="0" w:space="0" w:color="auto"/>
        <w:right w:val="none" w:sz="0" w:space="0" w:color="auto"/>
      </w:divBdr>
    </w:div>
    <w:div w:id="477066345">
      <w:bodyDiv w:val="1"/>
      <w:marLeft w:val="0"/>
      <w:marRight w:val="0"/>
      <w:marTop w:val="0"/>
      <w:marBottom w:val="0"/>
      <w:divBdr>
        <w:top w:val="none" w:sz="0" w:space="0" w:color="auto"/>
        <w:left w:val="none" w:sz="0" w:space="0" w:color="auto"/>
        <w:bottom w:val="none" w:sz="0" w:space="0" w:color="auto"/>
        <w:right w:val="none" w:sz="0" w:space="0" w:color="auto"/>
      </w:divBdr>
    </w:div>
    <w:div w:id="511653359">
      <w:bodyDiv w:val="1"/>
      <w:marLeft w:val="0"/>
      <w:marRight w:val="0"/>
      <w:marTop w:val="0"/>
      <w:marBottom w:val="0"/>
      <w:divBdr>
        <w:top w:val="none" w:sz="0" w:space="0" w:color="auto"/>
        <w:left w:val="none" w:sz="0" w:space="0" w:color="auto"/>
        <w:bottom w:val="none" w:sz="0" w:space="0" w:color="auto"/>
        <w:right w:val="none" w:sz="0" w:space="0" w:color="auto"/>
      </w:divBdr>
    </w:div>
    <w:div w:id="606278876">
      <w:bodyDiv w:val="1"/>
      <w:marLeft w:val="0"/>
      <w:marRight w:val="0"/>
      <w:marTop w:val="0"/>
      <w:marBottom w:val="0"/>
      <w:divBdr>
        <w:top w:val="none" w:sz="0" w:space="0" w:color="auto"/>
        <w:left w:val="none" w:sz="0" w:space="0" w:color="auto"/>
        <w:bottom w:val="none" w:sz="0" w:space="0" w:color="auto"/>
        <w:right w:val="none" w:sz="0" w:space="0" w:color="auto"/>
      </w:divBdr>
    </w:div>
    <w:div w:id="713315336">
      <w:bodyDiv w:val="1"/>
      <w:marLeft w:val="0"/>
      <w:marRight w:val="0"/>
      <w:marTop w:val="0"/>
      <w:marBottom w:val="0"/>
      <w:divBdr>
        <w:top w:val="none" w:sz="0" w:space="0" w:color="auto"/>
        <w:left w:val="none" w:sz="0" w:space="0" w:color="auto"/>
        <w:bottom w:val="none" w:sz="0" w:space="0" w:color="auto"/>
        <w:right w:val="none" w:sz="0" w:space="0" w:color="auto"/>
      </w:divBdr>
    </w:div>
    <w:div w:id="787705451">
      <w:bodyDiv w:val="1"/>
      <w:marLeft w:val="0"/>
      <w:marRight w:val="0"/>
      <w:marTop w:val="0"/>
      <w:marBottom w:val="0"/>
      <w:divBdr>
        <w:top w:val="none" w:sz="0" w:space="0" w:color="auto"/>
        <w:left w:val="none" w:sz="0" w:space="0" w:color="auto"/>
        <w:bottom w:val="none" w:sz="0" w:space="0" w:color="auto"/>
        <w:right w:val="none" w:sz="0" w:space="0" w:color="auto"/>
      </w:divBdr>
    </w:div>
    <w:div w:id="799415593">
      <w:bodyDiv w:val="1"/>
      <w:marLeft w:val="0"/>
      <w:marRight w:val="0"/>
      <w:marTop w:val="0"/>
      <w:marBottom w:val="0"/>
      <w:divBdr>
        <w:top w:val="none" w:sz="0" w:space="0" w:color="auto"/>
        <w:left w:val="none" w:sz="0" w:space="0" w:color="auto"/>
        <w:bottom w:val="none" w:sz="0" w:space="0" w:color="auto"/>
        <w:right w:val="none" w:sz="0" w:space="0" w:color="auto"/>
      </w:divBdr>
    </w:div>
    <w:div w:id="802579011">
      <w:bodyDiv w:val="1"/>
      <w:marLeft w:val="0"/>
      <w:marRight w:val="0"/>
      <w:marTop w:val="0"/>
      <w:marBottom w:val="0"/>
      <w:divBdr>
        <w:top w:val="none" w:sz="0" w:space="0" w:color="auto"/>
        <w:left w:val="none" w:sz="0" w:space="0" w:color="auto"/>
        <w:bottom w:val="none" w:sz="0" w:space="0" w:color="auto"/>
        <w:right w:val="none" w:sz="0" w:space="0" w:color="auto"/>
      </w:divBdr>
    </w:div>
    <w:div w:id="864516412">
      <w:bodyDiv w:val="1"/>
      <w:marLeft w:val="0"/>
      <w:marRight w:val="0"/>
      <w:marTop w:val="0"/>
      <w:marBottom w:val="0"/>
      <w:divBdr>
        <w:top w:val="none" w:sz="0" w:space="0" w:color="auto"/>
        <w:left w:val="none" w:sz="0" w:space="0" w:color="auto"/>
        <w:bottom w:val="none" w:sz="0" w:space="0" w:color="auto"/>
        <w:right w:val="none" w:sz="0" w:space="0" w:color="auto"/>
      </w:divBdr>
    </w:div>
    <w:div w:id="874123999">
      <w:bodyDiv w:val="1"/>
      <w:marLeft w:val="0"/>
      <w:marRight w:val="0"/>
      <w:marTop w:val="0"/>
      <w:marBottom w:val="0"/>
      <w:divBdr>
        <w:top w:val="none" w:sz="0" w:space="0" w:color="auto"/>
        <w:left w:val="none" w:sz="0" w:space="0" w:color="auto"/>
        <w:bottom w:val="none" w:sz="0" w:space="0" w:color="auto"/>
        <w:right w:val="none" w:sz="0" w:space="0" w:color="auto"/>
      </w:divBdr>
    </w:div>
    <w:div w:id="950627096">
      <w:bodyDiv w:val="1"/>
      <w:marLeft w:val="0"/>
      <w:marRight w:val="0"/>
      <w:marTop w:val="0"/>
      <w:marBottom w:val="0"/>
      <w:divBdr>
        <w:top w:val="none" w:sz="0" w:space="0" w:color="auto"/>
        <w:left w:val="none" w:sz="0" w:space="0" w:color="auto"/>
        <w:bottom w:val="none" w:sz="0" w:space="0" w:color="auto"/>
        <w:right w:val="none" w:sz="0" w:space="0" w:color="auto"/>
      </w:divBdr>
    </w:div>
    <w:div w:id="1057510762">
      <w:bodyDiv w:val="1"/>
      <w:marLeft w:val="0"/>
      <w:marRight w:val="0"/>
      <w:marTop w:val="0"/>
      <w:marBottom w:val="0"/>
      <w:divBdr>
        <w:top w:val="none" w:sz="0" w:space="0" w:color="auto"/>
        <w:left w:val="none" w:sz="0" w:space="0" w:color="auto"/>
        <w:bottom w:val="none" w:sz="0" w:space="0" w:color="auto"/>
        <w:right w:val="none" w:sz="0" w:space="0" w:color="auto"/>
      </w:divBdr>
    </w:div>
    <w:div w:id="1213345546">
      <w:bodyDiv w:val="1"/>
      <w:marLeft w:val="0"/>
      <w:marRight w:val="0"/>
      <w:marTop w:val="0"/>
      <w:marBottom w:val="0"/>
      <w:divBdr>
        <w:top w:val="none" w:sz="0" w:space="0" w:color="auto"/>
        <w:left w:val="none" w:sz="0" w:space="0" w:color="auto"/>
        <w:bottom w:val="none" w:sz="0" w:space="0" w:color="auto"/>
        <w:right w:val="none" w:sz="0" w:space="0" w:color="auto"/>
      </w:divBdr>
    </w:div>
    <w:div w:id="1241207943">
      <w:bodyDiv w:val="1"/>
      <w:marLeft w:val="0"/>
      <w:marRight w:val="0"/>
      <w:marTop w:val="0"/>
      <w:marBottom w:val="0"/>
      <w:divBdr>
        <w:top w:val="none" w:sz="0" w:space="0" w:color="auto"/>
        <w:left w:val="none" w:sz="0" w:space="0" w:color="auto"/>
        <w:bottom w:val="none" w:sz="0" w:space="0" w:color="auto"/>
        <w:right w:val="none" w:sz="0" w:space="0" w:color="auto"/>
      </w:divBdr>
    </w:div>
    <w:div w:id="1355425513">
      <w:bodyDiv w:val="1"/>
      <w:marLeft w:val="0"/>
      <w:marRight w:val="0"/>
      <w:marTop w:val="0"/>
      <w:marBottom w:val="0"/>
      <w:divBdr>
        <w:top w:val="none" w:sz="0" w:space="0" w:color="auto"/>
        <w:left w:val="none" w:sz="0" w:space="0" w:color="auto"/>
        <w:bottom w:val="none" w:sz="0" w:space="0" w:color="auto"/>
        <w:right w:val="none" w:sz="0" w:space="0" w:color="auto"/>
      </w:divBdr>
    </w:div>
    <w:div w:id="1431052079">
      <w:bodyDiv w:val="1"/>
      <w:marLeft w:val="0"/>
      <w:marRight w:val="0"/>
      <w:marTop w:val="0"/>
      <w:marBottom w:val="0"/>
      <w:divBdr>
        <w:top w:val="none" w:sz="0" w:space="0" w:color="auto"/>
        <w:left w:val="none" w:sz="0" w:space="0" w:color="auto"/>
        <w:bottom w:val="none" w:sz="0" w:space="0" w:color="auto"/>
        <w:right w:val="none" w:sz="0" w:space="0" w:color="auto"/>
      </w:divBdr>
    </w:div>
    <w:div w:id="1433863548">
      <w:bodyDiv w:val="1"/>
      <w:marLeft w:val="0"/>
      <w:marRight w:val="0"/>
      <w:marTop w:val="0"/>
      <w:marBottom w:val="0"/>
      <w:divBdr>
        <w:top w:val="none" w:sz="0" w:space="0" w:color="auto"/>
        <w:left w:val="none" w:sz="0" w:space="0" w:color="auto"/>
        <w:bottom w:val="none" w:sz="0" w:space="0" w:color="auto"/>
        <w:right w:val="none" w:sz="0" w:space="0" w:color="auto"/>
      </w:divBdr>
    </w:div>
    <w:div w:id="1459881342">
      <w:bodyDiv w:val="1"/>
      <w:marLeft w:val="0"/>
      <w:marRight w:val="0"/>
      <w:marTop w:val="0"/>
      <w:marBottom w:val="0"/>
      <w:divBdr>
        <w:top w:val="none" w:sz="0" w:space="0" w:color="auto"/>
        <w:left w:val="none" w:sz="0" w:space="0" w:color="auto"/>
        <w:bottom w:val="none" w:sz="0" w:space="0" w:color="auto"/>
        <w:right w:val="none" w:sz="0" w:space="0" w:color="auto"/>
      </w:divBdr>
    </w:div>
    <w:div w:id="1471439713">
      <w:bodyDiv w:val="1"/>
      <w:marLeft w:val="0"/>
      <w:marRight w:val="0"/>
      <w:marTop w:val="0"/>
      <w:marBottom w:val="0"/>
      <w:divBdr>
        <w:top w:val="none" w:sz="0" w:space="0" w:color="auto"/>
        <w:left w:val="none" w:sz="0" w:space="0" w:color="auto"/>
        <w:bottom w:val="none" w:sz="0" w:space="0" w:color="auto"/>
        <w:right w:val="none" w:sz="0" w:space="0" w:color="auto"/>
      </w:divBdr>
    </w:div>
    <w:div w:id="1511027238">
      <w:bodyDiv w:val="1"/>
      <w:marLeft w:val="0"/>
      <w:marRight w:val="0"/>
      <w:marTop w:val="0"/>
      <w:marBottom w:val="0"/>
      <w:divBdr>
        <w:top w:val="none" w:sz="0" w:space="0" w:color="auto"/>
        <w:left w:val="none" w:sz="0" w:space="0" w:color="auto"/>
        <w:bottom w:val="none" w:sz="0" w:space="0" w:color="auto"/>
        <w:right w:val="none" w:sz="0" w:space="0" w:color="auto"/>
      </w:divBdr>
    </w:div>
    <w:div w:id="1713458256">
      <w:bodyDiv w:val="1"/>
      <w:marLeft w:val="0"/>
      <w:marRight w:val="0"/>
      <w:marTop w:val="0"/>
      <w:marBottom w:val="0"/>
      <w:divBdr>
        <w:top w:val="none" w:sz="0" w:space="0" w:color="auto"/>
        <w:left w:val="none" w:sz="0" w:space="0" w:color="auto"/>
        <w:bottom w:val="none" w:sz="0" w:space="0" w:color="auto"/>
        <w:right w:val="none" w:sz="0" w:space="0" w:color="auto"/>
      </w:divBdr>
    </w:div>
    <w:div w:id="1716079272">
      <w:bodyDiv w:val="1"/>
      <w:marLeft w:val="0"/>
      <w:marRight w:val="0"/>
      <w:marTop w:val="0"/>
      <w:marBottom w:val="0"/>
      <w:divBdr>
        <w:top w:val="none" w:sz="0" w:space="0" w:color="auto"/>
        <w:left w:val="none" w:sz="0" w:space="0" w:color="auto"/>
        <w:bottom w:val="none" w:sz="0" w:space="0" w:color="auto"/>
        <w:right w:val="none" w:sz="0" w:space="0" w:color="auto"/>
      </w:divBdr>
    </w:div>
    <w:div w:id="1820688176">
      <w:bodyDiv w:val="1"/>
      <w:marLeft w:val="0"/>
      <w:marRight w:val="0"/>
      <w:marTop w:val="0"/>
      <w:marBottom w:val="0"/>
      <w:divBdr>
        <w:top w:val="none" w:sz="0" w:space="0" w:color="auto"/>
        <w:left w:val="none" w:sz="0" w:space="0" w:color="auto"/>
        <w:bottom w:val="none" w:sz="0" w:space="0" w:color="auto"/>
        <w:right w:val="none" w:sz="0" w:space="0" w:color="auto"/>
      </w:divBdr>
    </w:div>
    <w:div w:id="1822690331">
      <w:bodyDiv w:val="1"/>
      <w:marLeft w:val="0"/>
      <w:marRight w:val="0"/>
      <w:marTop w:val="0"/>
      <w:marBottom w:val="0"/>
      <w:divBdr>
        <w:top w:val="none" w:sz="0" w:space="0" w:color="auto"/>
        <w:left w:val="none" w:sz="0" w:space="0" w:color="auto"/>
        <w:bottom w:val="none" w:sz="0" w:space="0" w:color="auto"/>
        <w:right w:val="none" w:sz="0" w:space="0" w:color="auto"/>
      </w:divBdr>
    </w:div>
    <w:div w:id="2038693925">
      <w:bodyDiv w:val="1"/>
      <w:marLeft w:val="0"/>
      <w:marRight w:val="0"/>
      <w:marTop w:val="0"/>
      <w:marBottom w:val="0"/>
      <w:divBdr>
        <w:top w:val="none" w:sz="0" w:space="0" w:color="auto"/>
        <w:left w:val="none" w:sz="0" w:space="0" w:color="auto"/>
        <w:bottom w:val="none" w:sz="0" w:space="0" w:color="auto"/>
        <w:right w:val="none" w:sz="0" w:space="0" w:color="auto"/>
      </w:divBdr>
    </w:div>
    <w:div w:id="2055999049">
      <w:bodyDiv w:val="1"/>
      <w:marLeft w:val="0"/>
      <w:marRight w:val="0"/>
      <w:marTop w:val="0"/>
      <w:marBottom w:val="0"/>
      <w:divBdr>
        <w:top w:val="none" w:sz="0" w:space="0" w:color="auto"/>
        <w:left w:val="none" w:sz="0" w:space="0" w:color="auto"/>
        <w:bottom w:val="none" w:sz="0" w:space="0" w:color="auto"/>
        <w:right w:val="none" w:sz="0" w:space="0" w:color="auto"/>
      </w:divBdr>
    </w:div>
    <w:div w:id="206255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_________Microsoft_Visio_2003_2010.vsd"/><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oleObject" Target="embeddings/_________Microsoft_Visio_2003_20103.vsd"/><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oleObject" Target="embeddings/_________Microsoft_Visio_2003_20102.vsd"/><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oleObject" Target="embeddings/_________Microsoft_Visio_2003_20101.vsd"/><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png"/><Relationship Id="rId22" Type="http://schemas.openxmlformats.org/officeDocument/2006/relationships/oleObject" Target="embeddings/_________Microsoft_Visio_2003_20104.vsd"/></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Pages>
  <Words>3407</Words>
  <Characters>19422</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Голев Максим Николаевич</cp:lastModifiedBy>
  <cp:revision>5</cp:revision>
  <cp:lastPrinted>2018-02-27T08:49:00Z</cp:lastPrinted>
  <dcterms:created xsi:type="dcterms:W3CDTF">2020-11-24T08:33:00Z</dcterms:created>
  <dcterms:modified xsi:type="dcterms:W3CDTF">2021-02-19T10:22:00Z</dcterms:modified>
</cp:coreProperties>
</file>